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80" w:rsidRDefault="00B90680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90680" w:rsidRDefault="00D05612">
      <w:pPr>
        <w:spacing w:after="120" w:line="240" w:lineRule="auto"/>
        <w:ind w:left="-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Экспертное заключение</w:t>
      </w:r>
    </w:p>
    <w:p w:rsidR="00B90680" w:rsidRDefault="00D05612">
      <w:pPr>
        <w:spacing w:after="0" w:line="240" w:lineRule="auto"/>
        <w:ind w:left="-567" w:firstLine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уровне квалификации руководителя структурного подразделения </w:t>
      </w:r>
      <w:r w:rsidR="006A15B9">
        <w:rPr>
          <w:rFonts w:ascii="Times New Roman" w:eastAsia="Times New Roman" w:hAnsi="Times New Roman"/>
          <w:b/>
          <w:sz w:val="28"/>
          <w:szCs w:val="28"/>
          <w:lang w:eastAsia="ru-RU"/>
        </w:rPr>
        <w:t>обще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образовательного  учреждения</w:t>
      </w:r>
    </w:p>
    <w:p w:rsidR="00B90680" w:rsidRDefault="00B9068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90680" w:rsidRDefault="00B9068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90680" w:rsidRDefault="00D05612">
      <w:pPr>
        <w:keepNext/>
        <w:spacing w:after="12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сведения об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аттестуемом</w:t>
      </w:r>
      <w:proofErr w:type="gramEnd"/>
    </w:p>
    <w:p w:rsidR="00B90680" w:rsidRDefault="00D0561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Фамилия, имя, отчество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:rsidR="00E4069F" w:rsidRPr="00E4069F" w:rsidRDefault="00D05612" w:rsidP="00E4069F">
      <w:pPr>
        <w:tabs>
          <w:tab w:val="left" w:pos="9639"/>
        </w:tabs>
        <w:spacing w:after="0" w:line="360" w:lineRule="auto"/>
        <w:rPr>
          <w:rFonts w:ascii="Times New Roman" w:hAnsi="Times New Roman"/>
          <w:kern w:val="1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Место работы, должность</w:t>
      </w:r>
      <w:r w:rsidR="00E4069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:rsidR="00B90680" w:rsidRDefault="00B90680">
      <w:pPr>
        <w:spacing w:after="0" w:line="240" w:lineRule="auto"/>
        <w:rPr>
          <w:rFonts w:ascii="Times New Roman" w:hAnsi="Times New Roman"/>
          <w:kern w:val="1"/>
          <w:sz w:val="24"/>
          <w:szCs w:val="24"/>
          <w:u w:val="single"/>
          <w:lang w:eastAsia="zh-CN"/>
        </w:rPr>
      </w:pPr>
    </w:p>
    <w:p w:rsidR="00B90680" w:rsidRDefault="00D0561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Заявленная категория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:rsidR="00B90680" w:rsidRDefault="00D0561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профессиональной компетентности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руководителей государственных образовательных организаций </w:t>
      </w:r>
    </w:p>
    <w:p w:rsidR="00B90680" w:rsidRDefault="00B906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203" w:type="dxa"/>
        <w:tblInd w:w="-1169" w:type="dxa"/>
        <w:tblLook w:val="0600" w:firstRow="0" w:lastRow="0" w:firstColumn="0" w:lastColumn="0" w:noHBand="1" w:noVBand="1"/>
      </w:tblPr>
      <w:tblGrid>
        <w:gridCol w:w="645"/>
        <w:gridCol w:w="12"/>
        <w:gridCol w:w="2072"/>
        <w:gridCol w:w="12"/>
        <w:gridCol w:w="19"/>
        <w:gridCol w:w="18"/>
        <w:gridCol w:w="2128"/>
        <w:gridCol w:w="8"/>
        <w:gridCol w:w="601"/>
        <w:gridCol w:w="442"/>
        <w:gridCol w:w="238"/>
        <w:gridCol w:w="238"/>
        <w:gridCol w:w="606"/>
        <w:gridCol w:w="413"/>
        <w:gridCol w:w="393"/>
        <w:gridCol w:w="489"/>
        <w:gridCol w:w="243"/>
        <w:gridCol w:w="135"/>
        <w:gridCol w:w="132"/>
        <w:gridCol w:w="143"/>
        <w:gridCol w:w="574"/>
        <w:gridCol w:w="285"/>
        <w:gridCol w:w="87"/>
        <w:gridCol w:w="79"/>
        <w:gridCol w:w="1413"/>
      </w:tblGrid>
      <w:tr w:rsidR="00B90680">
        <w:trPr>
          <w:trHeight w:val="645"/>
        </w:trPr>
        <w:tc>
          <w:tcPr>
            <w:tcW w:w="112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ind w:left="-1169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Критерий 1. Эффективность управленческой деятельности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1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Количество баллов по каждому показателю</w:t>
            </w:r>
          </w:p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(баллы не суммируются)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1.1.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</w:rPr>
              <w:t>Руководство деятельностью структурного подразделения образовательного учреждения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 w:firstLine="34"/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 xml:space="preserve">Планы работы, локальные акты (приказы, распоряжения), программы, циклограммы, графики, инструктивно-методические и отчетно-аналитические документы и материалы и др. 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осуществляется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 замечаниями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системно, комплексно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1.2.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 xml:space="preserve">Организация текущего и перспективного планирования </w:t>
            </w:r>
            <w:r>
              <w:rPr>
                <w:rFonts w:ascii="Times New Roman" w:hAnsi="Times New Roman"/>
              </w:rPr>
              <w:t xml:space="preserve">деятельности </w:t>
            </w:r>
            <w:r>
              <w:rPr>
                <w:rFonts w:ascii="Times New Roman" w:eastAsia="Arial Unicode MS" w:hAnsi="Times New Roman"/>
                <w:kern w:val="1"/>
              </w:rPr>
              <w:t xml:space="preserve">структурного подразделения 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План работы структурного подразделения, циклограммы, графики и др.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осуществляется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 замечаниями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системно, комплексно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1.3.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Содействие педагогам в разработке образовательных программ и освоении эффективных технологий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Планы работы, циклограммы, отчетно-аналитическая документация, программы семинаров, мастер-классов, круглых столов и др., организованных и/или проведенных руководителем структурного подразделения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осуществляется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периодически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системно, комплексно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1.4.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Cs w:val="20"/>
              </w:rPr>
              <w:t>методической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, культурно-массовой </w:t>
            </w:r>
          </w:p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и внеклассной </w:t>
            </w:r>
          </w:p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работы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Планы работы, циклограммы, отчетно-аналитическая документация, программы мероприятий и др.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осуществляется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периодически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системно, комплексно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273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1.5.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Составление расписания учебных занятий и других видов </w:t>
            </w:r>
            <w:r>
              <w:rPr>
                <w:rFonts w:ascii="Times New Roman" w:hAnsi="Times New Roman"/>
                <w:szCs w:val="20"/>
              </w:rPr>
              <w:lastRenderedPageBreak/>
              <w:t>деятельности обучающихся (воспитанников, детей)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Расписания учебных занятий и других видов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учебной и воспитательной деятельности с учетом требований СанПиН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учебной нагрузки педагогов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1"/>
                <w:sz w:val="18"/>
                <w:szCs w:val="18"/>
              </w:rPr>
              <w:lastRenderedPageBreak/>
              <w:t>Наличие существенных замечаний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1"/>
                <w:sz w:val="18"/>
                <w:szCs w:val="18"/>
              </w:rPr>
              <w:t>Наличие замечаний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1"/>
                <w:sz w:val="18"/>
                <w:szCs w:val="18"/>
              </w:rPr>
              <w:t>Отсутствие замечаний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lastRenderedPageBreak/>
              <w:t>1.6.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Организация работы по подготовке и проведению итоговой аттестации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Пакет документов по подготовке и проведению итоговой аттестации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осуществляется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 замечаниями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системно, комплексно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1.7.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Осуществление контроля выполнения плановых заданий, учебных (образовательных) планов и программ 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 xml:space="preserve">Локальные акты (приказы, распоряжения) о проведении контроля выполнения плановых заданий, учебных (образовательных) планов и программ, графики контроля, отчетно-аналитическая документация по итогам контроля 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осуществляется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 замечаниями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системно, комплексно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1.8.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качеством образовательного процесса и обеспечением уровня подготовки обучающихся/ воспитанников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Локальные акты (приказы, распоряжения) о проведении контроля качества образ</w:t>
            </w:r>
            <w:proofErr w:type="gramStart"/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роцесса и обеспечении уровня подготовки в соответствии с требованиями ФГОС, графики контроля,</w:t>
            </w: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br/>
              <w:t xml:space="preserve">инструктивно-методические материалы, отчетно-аналитическая документация по итогам контроля 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осуществляется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 замечаниями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системно, комплексно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1.9.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Организация работы по сохранности контингента </w:t>
            </w:r>
            <w:proofErr w:type="gramStart"/>
            <w:r>
              <w:rPr>
                <w:rFonts w:ascii="Times New Roman" w:hAnsi="Times New Roman"/>
                <w:szCs w:val="20"/>
              </w:rPr>
              <w:t>обучающихся</w:t>
            </w:r>
            <w:proofErr w:type="gramEnd"/>
          </w:p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(воспитанников, детей) 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 xml:space="preserve">Локальные акты (приказы, распоряжения), отчетно-аналитическая документация </w:t>
            </w: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br/>
              <w:t>и др.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осуществляется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 замечаниями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системно, комплексно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1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Количество баллов по каждому показателю</w:t>
            </w: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(баллы не суммируются)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1.10.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Обеспечение своевременного составления установленной отчетной документации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 xml:space="preserve">Пакет отчетной документации </w:t>
            </w: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br/>
              <w:t xml:space="preserve">(в соответствии с направлением деятельности зам.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руководителя)</w:t>
            </w:r>
          </w:p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обеспечивается</w:t>
            </w: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Обеспечивается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1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Количество баллов по каждому показателю</w:t>
            </w: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(баллы не суммируются)</w:t>
            </w:r>
          </w:p>
        </w:tc>
      </w:tr>
      <w:tr w:rsidR="00B90680">
        <w:trPr>
          <w:trHeight w:val="2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1.11.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Организация повышения квалификации педагогов и их профессионального мастерства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 xml:space="preserve">Перспективный план (план-график) повышения квалификации педагогических работников образовательной организации, программы семинаров, мастер-классов, </w:t>
            </w: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lastRenderedPageBreak/>
              <w:t>круглых столов и др.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0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B90680">
        <w:trPr>
          <w:trHeight w:val="412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осуществляется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периодически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системно, комплексно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lastRenderedPageBreak/>
              <w:t>1.12.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Организация заключения договоров с заинтересованными организациями по подготовке кадров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Договоры с организациями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по подготовке кадров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осуществляется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 периодически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Осуществляется </w:t>
            </w:r>
            <w:r>
              <w:rPr>
                <w:rFonts w:ascii="Times New Roman" w:eastAsia="Arial Unicode MS" w:hAnsi="Times New Roman"/>
                <w:kern w:val="1"/>
                <w:sz w:val="18"/>
                <w:szCs w:val="18"/>
              </w:rPr>
              <w:t>систематически</w:t>
            </w:r>
          </w:p>
        </w:tc>
      </w:tr>
      <w:tr w:rsidR="00B90680">
        <w:trPr>
          <w:trHeight w:val="567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0680">
        <w:trPr>
          <w:trHeight w:val="366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1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Количество баллов по каждому показателю</w:t>
            </w: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Cs w:val="20"/>
              </w:rPr>
              <w:t>(баллы не суммируются)</w:t>
            </w:r>
          </w:p>
        </w:tc>
      </w:tr>
      <w:tr w:rsidR="00B90680">
        <w:trPr>
          <w:trHeight w:val="373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1.13.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Участие в подготовке и проведении аттестации педагогических работников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pStyle w:val="a4"/>
              <w:widowControl w:val="0"/>
              <w:suppressAutoHyphens/>
              <w:spacing w:before="60" w:after="0" w:line="240" w:lineRule="auto"/>
              <w:ind w:left="0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 xml:space="preserve">Локальные акты (приказы, распоряжения), инструктивно-методические и отчетно-аналитические документы и материалы   </w:t>
            </w: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br/>
              <w:t xml:space="preserve">по аттестации педагогов </w:t>
            </w:r>
          </w:p>
        </w:tc>
        <w:tc>
          <w:tcPr>
            <w:tcW w:w="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B90680">
        <w:trPr>
          <w:trHeight w:val="422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kern w:val="1"/>
                <w:sz w:val="18"/>
                <w:szCs w:val="18"/>
              </w:rPr>
              <w:t>Не участвует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Участвует</w:t>
            </w:r>
          </w:p>
        </w:tc>
      </w:tr>
      <w:tr w:rsidR="00B90680">
        <w:trPr>
          <w:trHeight w:val="541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0680">
        <w:trPr>
          <w:trHeight w:val="337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1.14.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Участие в оснащении кабинетов, мастерских, учебных лабораторий и др.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 xml:space="preserve">План работы по оснащению современным оборудованием, наглядными пособиями и техническими средствами обучения кабинетов, мастерских, учебных лабораторий и др.  </w:t>
            </w:r>
          </w:p>
        </w:tc>
        <w:tc>
          <w:tcPr>
            <w:tcW w:w="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осуществляется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Осуществляется</w:t>
            </w:r>
          </w:p>
        </w:tc>
      </w:tr>
      <w:tr w:rsidR="00B90680">
        <w:trPr>
          <w:trHeight w:val="1122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B90680"/>
        </w:tc>
        <w:tc>
          <w:tcPr>
            <w:tcW w:w="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0680">
        <w:trPr>
          <w:trHeight w:val="786"/>
        </w:trPr>
        <w:tc>
          <w:tcPr>
            <w:tcW w:w="112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Критерий 2. Личный вклад в развитие региональной системы образования</w:t>
            </w:r>
          </w:p>
        </w:tc>
      </w:tr>
      <w:tr w:rsidR="00B90680">
        <w:trPr>
          <w:trHeight w:val="635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Количество баллов по каждому показателю</w:t>
            </w:r>
          </w:p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hAnsi="Times New Roman"/>
                <w:i/>
              </w:rPr>
              <w:t>(баллы суммируются)</w:t>
            </w:r>
          </w:p>
        </w:tc>
      </w:tr>
      <w:tr w:rsidR="00B90680">
        <w:trPr>
          <w:trHeight w:val="629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</w:rPr>
              <w:t>2.1.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Участие руководителя структурного подразделения в семинарах, конференциях форумах, педагогических чтениях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before="60" w:after="0" w:line="240" w:lineRule="auto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Дипломы, сертификаты, программы конференций, семинаров и др.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15</w:t>
            </w:r>
          </w:p>
        </w:tc>
      </w:tr>
      <w:tr w:rsidR="00B90680">
        <w:trPr>
          <w:trHeight w:val="800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Не участвует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Муниципальный/зональный уровень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Региональный</w:t>
            </w: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br/>
              <w:t>уровень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Федеральный уровень</w:t>
            </w:r>
          </w:p>
        </w:tc>
      </w:tr>
      <w:tr w:rsidR="00B90680">
        <w:trPr>
          <w:trHeight w:val="1054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1101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Количество баллов по каждому показателю</w:t>
            </w:r>
          </w:p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hAnsi="Times New Roman"/>
                <w:i/>
              </w:rPr>
              <w:t>(баллы не суммируются)</w:t>
            </w:r>
          </w:p>
        </w:tc>
      </w:tr>
      <w:tr w:rsidR="00B90680">
        <w:trPr>
          <w:trHeight w:val="456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2.2.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color w:val="C00000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Участие руководителя структурного подразделения в конкурсах профессионального мастерства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Дипломы, сертификаты или др.</w:t>
            </w:r>
          </w:p>
        </w:tc>
        <w:tc>
          <w:tcPr>
            <w:tcW w:w="2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10</w:t>
            </w:r>
          </w:p>
        </w:tc>
      </w:tr>
      <w:tr w:rsidR="00B90680">
        <w:trPr>
          <w:trHeight w:val="230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kern w:val="1"/>
                <w:sz w:val="18"/>
                <w:szCs w:val="18"/>
              </w:rPr>
              <w:t>Не участвует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Участвует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C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Победа в конкурсах</w:t>
            </w:r>
          </w:p>
        </w:tc>
      </w:tr>
      <w:tr w:rsidR="00B90680">
        <w:trPr>
          <w:trHeight w:val="684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0680">
        <w:trPr>
          <w:trHeight w:val="528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Количество баллов по каждому показателю</w:t>
            </w:r>
          </w:p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i/>
              </w:rPr>
              <w:t>(баллы не суммируются)</w:t>
            </w:r>
          </w:p>
        </w:tc>
      </w:tr>
      <w:tr w:rsidR="00B90680">
        <w:trPr>
          <w:trHeight w:val="459"/>
        </w:trPr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</w:rPr>
              <w:t>2.3.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spacing w:after="0" w:line="240" w:lineRule="auto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Участие в деятельности экспертных групп по аттестации</w:t>
            </w:r>
            <w:r>
              <w:rPr>
                <w:rFonts w:ascii="Times New Roman" w:eastAsia="Arial Unicode MS" w:hAnsi="Times New Roman"/>
                <w:kern w:val="1"/>
              </w:rPr>
              <w:footnoteReference w:customMarkFollows="1" w:id="1"/>
              <w:t xml:space="preserve">*  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pStyle w:val="a5"/>
              <w:spacing w:before="0" w:after="0"/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</w:rPr>
              <w:t>Выписки из приказов</w:t>
            </w:r>
          </w:p>
        </w:tc>
        <w:tc>
          <w:tcPr>
            <w:tcW w:w="2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</w:tr>
      <w:tr w:rsidR="00B90680">
        <w:trPr>
          <w:trHeight w:val="594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участвует</w:t>
            </w:r>
          </w:p>
        </w:tc>
        <w:tc>
          <w:tcPr>
            <w:tcW w:w="2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Участвует</w:t>
            </w:r>
          </w:p>
        </w:tc>
      </w:tr>
      <w:tr w:rsidR="00B90680">
        <w:trPr>
          <w:trHeight w:val="662"/>
        </w:trPr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0680">
        <w:trPr>
          <w:trHeight w:val="662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Количество баллов по каждому показателю</w:t>
            </w: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(баллы суммируются)</w:t>
            </w:r>
          </w:p>
        </w:tc>
      </w:tr>
      <w:tr w:rsidR="00B90680">
        <w:trPr>
          <w:trHeight w:val="777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</w:rPr>
              <w:t>2.4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pStyle w:val="a5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Научно-методические и учебно-методические публикации, в том числе в электронной версии на сайте профильных издательств</w:t>
            </w: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</w:rPr>
              <w:t xml:space="preserve">Оригиналы публикаций или ксерокопии титульного листа и страницы «содержание» сборника, в котором помещена публикация, ссылки на </w:t>
            </w:r>
            <w:proofErr w:type="gramStart"/>
            <w:r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</w:rPr>
              <w:t>интернет-публикации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</w:tr>
      <w:tr w:rsidR="00B90680">
        <w:trPr>
          <w:trHeight w:val="777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Нет публикаций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Уровень</w:t>
            </w:r>
            <w:r>
              <w:rPr>
                <w:rFonts w:ascii="Times New Roman" w:hAnsi="Times New Roman"/>
                <w:szCs w:val="20"/>
              </w:rPr>
              <w:br/>
              <w:t>обр. орг.</w:t>
            </w:r>
          </w:p>
        </w:tc>
        <w:tc>
          <w:tcPr>
            <w:tcW w:w="1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Региональн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br/>
              <w:t>уровень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Федеральн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br/>
              <w:t>уровень</w:t>
            </w:r>
          </w:p>
        </w:tc>
      </w:tr>
      <w:tr w:rsidR="00B90680">
        <w:trPr>
          <w:trHeight w:val="777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pStyle w:val="a5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0680">
        <w:trPr>
          <w:trHeight w:val="657"/>
        </w:trPr>
        <w:tc>
          <w:tcPr>
            <w:tcW w:w="112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Критерий 3. </w:t>
            </w: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Награды</w:t>
            </w:r>
          </w:p>
        </w:tc>
      </w:tr>
      <w:tr w:rsidR="00B90680">
        <w:trPr>
          <w:trHeight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1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1"/>
              </w:rPr>
              <w:t>/п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Показатели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Количество баллов по каждому показателю</w:t>
            </w: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(баллы суммируются)</w:t>
            </w:r>
          </w:p>
        </w:tc>
      </w:tr>
      <w:tr w:rsidR="00B90680">
        <w:trPr>
          <w:trHeight w:val="49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3.1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Почетные звания, профессиональные награды и премии (за весь период профессиональной деятельности)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</w:rPr>
              <w:t>Почетные грамоты, благодарности, удостоверения о наличии знаков отличия и др.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10</w:t>
            </w:r>
          </w:p>
        </w:tc>
      </w:tr>
      <w:tr w:rsidR="00B90680">
        <w:trPr>
          <w:trHeight w:val="70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4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Региональный уровень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Федеральный уровень</w:t>
            </w:r>
          </w:p>
        </w:tc>
      </w:tr>
      <w:tr w:rsidR="00B90680">
        <w:trPr>
          <w:trHeight w:val="77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4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2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556"/>
        </w:trPr>
        <w:tc>
          <w:tcPr>
            <w:tcW w:w="112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Критерий 4. </w:t>
            </w: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Профессиональное развитие</w:t>
            </w:r>
          </w:p>
        </w:tc>
      </w:tr>
      <w:tr w:rsidR="00B90680">
        <w:trPr>
          <w:trHeight w:val="6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/>
                <w:b/>
                <w:kern w:val="1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kern w:val="1"/>
              </w:rPr>
              <w:t>/п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Показатели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18"/>
                <w:szCs w:val="18"/>
              </w:rPr>
              <w:t xml:space="preserve">Подтверждающие </w:t>
            </w:r>
            <w:r>
              <w:rPr>
                <w:rFonts w:ascii="Times New Roman" w:eastAsia="Arial Unicode MS" w:hAnsi="Times New Roman"/>
                <w:b/>
                <w:kern w:val="1"/>
              </w:rPr>
              <w:t>документы</w:t>
            </w:r>
          </w:p>
        </w:tc>
        <w:tc>
          <w:tcPr>
            <w:tcW w:w="5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1"/>
              </w:rPr>
              <w:t>Количество баллов по каждому показателю</w:t>
            </w:r>
            <w:r>
              <w:rPr>
                <w:rFonts w:ascii="Times New Roman" w:eastAsia="Arial Unicode MS" w:hAnsi="Times New Roman"/>
                <w:b/>
                <w:kern w:val="1"/>
              </w:rPr>
              <w:br/>
            </w: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(баллы не суммируются)</w:t>
            </w:r>
          </w:p>
        </w:tc>
      </w:tr>
      <w:tr w:rsidR="00B90680">
        <w:trPr>
          <w:trHeight w:val="27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4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/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15</w:t>
            </w:r>
          </w:p>
        </w:tc>
      </w:tr>
      <w:tr w:rsidR="00B90680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4.1.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Курсы повышения квалификации</w:t>
            </w:r>
          </w:p>
          <w:p w:rsidR="00B90680" w:rsidRDefault="00D05612">
            <w:pPr>
              <w:pStyle w:val="a4"/>
              <w:spacing w:after="0" w:line="240" w:lineRule="auto"/>
              <w:ind w:left="0"/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kern w:val="1"/>
                <w:sz w:val="20"/>
                <w:szCs w:val="20"/>
              </w:rPr>
              <w:t>(курсы повышения квалификации, стажировка)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pStyle w:val="a5"/>
              <w:spacing w:before="0" w:after="0"/>
              <w:rPr>
                <w:i/>
              </w:rPr>
            </w:pPr>
            <w:r>
              <w:rPr>
                <w:rFonts w:ascii="Times New Roman" w:hAnsi="Times New Roman"/>
                <w:i/>
                <w:iCs/>
                <w:szCs w:val="20"/>
              </w:rPr>
              <w:t>Удостоверение о повышении квалификации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Менее 72 ч.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72-180 ч.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180-216 ч.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Свыше 216 ч.</w:t>
            </w:r>
          </w:p>
        </w:tc>
      </w:tr>
      <w:tr w:rsidR="00B90680">
        <w:trPr>
          <w:trHeight w:val="8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B90680"/>
        </w:tc>
        <w:tc>
          <w:tcPr>
            <w:tcW w:w="24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B90680"/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B90680"/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77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Второе профессиональное образование (ВПО)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90680" w:rsidRDefault="00B9068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B90680" w:rsidRDefault="00D056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Профессиональная переподготовка (ПП)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Документ о получении второго профессионального образования, переподготовке, справка об обучении (в соответствии с занимаемой должностью) при наличии базового профессионального образования</w:t>
            </w:r>
          </w:p>
          <w:p w:rsidR="00B90680" w:rsidRDefault="00D05612">
            <w:pPr>
              <w:pStyle w:val="a5"/>
              <w:spacing w:before="0"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Примечание:</w:t>
            </w:r>
          </w:p>
          <w:p w:rsidR="00B90680" w:rsidRDefault="00D056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 01.09.2013 г.  учитываются только дипломы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 обучается</w:t>
            </w:r>
          </w:p>
          <w:p w:rsidR="00B90680" w:rsidRDefault="00B9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Освоено менее 50% программы ВПО/ПП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Освоено более 50% программы ВПО/ПП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ВПО/ ПП освоена полностью</w:t>
            </w:r>
          </w:p>
        </w:tc>
      </w:tr>
      <w:tr w:rsidR="00B90680">
        <w:trPr>
          <w:trHeight w:val="777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B90680"/>
        </w:tc>
        <w:tc>
          <w:tcPr>
            <w:tcW w:w="24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B90680"/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B90680"/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  <w:tr w:rsidR="00B90680">
        <w:trPr>
          <w:trHeight w:val="138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4.3.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Профессиональное научное развитие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customMarkFollows="1" w:id="2"/>
              <w:t>*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D056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</w:rPr>
              <w:t>Справка об обучении, диплом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1"/>
                <w:sz w:val="18"/>
                <w:szCs w:val="18"/>
              </w:rPr>
              <w:t>Не обучается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kern w:val="1"/>
                <w:sz w:val="18"/>
                <w:szCs w:val="18"/>
              </w:rPr>
              <w:t>Обучение в аспирантуре, соискательство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степени кандидата наук, звания доцента (ВАК)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D05612">
            <w:pPr>
              <w:pStyle w:val="a5"/>
              <w:spacing w:before="0"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степени доктора наук, звания профессора (ВАК)</w:t>
            </w:r>
          </w:p>
        </w:tc>
      </w:tr>
      <w:tr w:rsidR="00B90680">
        <w:trPr>
          <w:trHeight w:val="77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B90680"/>
        </w:tc>
        <w:tc>
          <w:tcPr>
            <w:tcW w:w="24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B90680"/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90680" w:rsidRDefault="00B90680"/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0680" w:rsidRDefault="00B90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</w:tr>
    </w:tbl>
    <w:p w:rsidR="00B90680" w:rsidRDefault="00D05612">
      <w:pPr>
        <w:tabs>
          <w:tab w:val="left" w:pos="6379"/>
        </w:tabs>
        <w:spacing w:after="0" w:line="240" w:lineRule="auto"/>
        <w:ind w:right="414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набрано аттестуемым руководителем</w:t>
      </w:r>
      <w:r w:rsidR="00E4069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баллов</w:t>
      </w:r>
    </w:p>
    <w:p w:rsidR="00B90680" w:rsidRDefault="00B906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tbl>
      <w:tblPr>
        <w:tblW w:w="8862" w:type="dxa"/>
        <w:tblInd w:w="709" w:type="dxa"/>
        <w:tblLook w:val="0600" w:firstRow="0" w:lastRow="0" w:firstColumn="0" w:lastColumn="0" w:noHBand="1" w:noVBand="1"/>
      </w:tblPr>
      <w:tblGrid>
        <w:gridCol w:w="4347"/>
        <w:gridCol w:w="4515"/>
      </w:tblGrid>
      <w:tr w:rsidR="00B90680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widowControl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Минимальное количество баллов</w:t>
            </w:r>
          </w:p>
        </w:tc>
      </w:tr>
      <w:tr w:rsidR="00B90680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90680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80" w:rsidRDefault="00D0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</w:tr>
    </w:tbl>
    <w:p w:rsidR="00B90680" w:rsidRDefault="00B906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90680" w:rsidRDefault="00D05612">
      <w:pPr>
        <w:tabs>
          <w:tab w:val="left" w:pos="2835"/>
          <w:tab w:val="left" w:pos="7797"/>
        </w:tabs>
        <w:spacing w:after="0" w:line="240" w:lineRule="auto"/>
        <w:ind w:left="284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 квалификации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руководителя структурного подразделения соответствует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требованиям, </w:t>
      </w:r>
    </w:p>
    <w:p w:rsidR="00B90680" w:rsidRDefault="00D05612">
      <w:pPr>
        <w:tabs>
          <w:tab w:val="center" w:pos="5387"/>
        </w:tabs>
        <w:spacing w:after="240" w:line="240" w:lineRule="auto"/>
        <w:ind w:left="284" w:right="-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 xml:space="preserve">указывается должность          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соответствует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/ не соответствует</w:t>
      </w:r>
    </w:p>
    <w:p w:rsidR="00B90680" w:rsidRDefault="00D05612">
      <w:pPr>
        <w:tabs>
          <w:tab w:val="left" w:pos="2835"/>
          <w:tab w:val="left" w:pos="5670"/>
        </w:tabs>
        <w:spacing w:after="0" w:line="192" w:lineRule="auto"/>
        <w:ind w:left="284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предъявляемым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заявленной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квалификационной категории</w:t>
      </w:r>
    </w:p>
    <w:p w:rsidR="00B90680" w:rsidRDefault="00D05612">
      <w:pPr>
        <w:tabs>
          <w:tab w:val="left" w:pos="2835"/>
          <w:tab w:val="left" w:pos="5670"/>
        </w:tabs>
        <w:spacing w:after="0" w:line="192" w:lineRule="auto"/>
        <w:ind w:left="284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 xml:space="preserve">                        первой/высшей</w:t>
      </w:r>
    </w:p>
    <w:p w:rsidR="00B90680" w:rsidRDefault="00D05612">
      <w:pPr>
        <w:tabs>
          <w:tab w:val="left" w:pos="2835"/>
          <w:tab w:val="left" w:pos="5670"/>
        </w:tabs>
        <w:spacing w:after="0" w:line="240" w:lineRule="auto"/>
        <w:ind w:left="284" w:right="-1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 xml:space="preserve">               </w:t>
      </w:r>
    </w:p>
    <w:p w:rsidR="00B90680" w:rsidRDefault="00B90680">
      <w:pPr>
        <w:tabs>
          <w:tab w:val="left" w:pos="2835"/>
          <w:tab w:val="left" w:pos="5670"/>
        </w:tabs>
        <w:spacing w:after="0" w:line="240" w:lineRule="auto"/>
        <w:ind w:left="284" w:right="-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90680" w:rsidRDefault="00D05612">
      <w:pPr>
        <w:tabs>
          <w:tab w:val="left" w:pos="5103"/>
          <w:tab w:val="left" w:pos="5387"/>
          <w:tab w:val="left" w:pos="9356"/>
        </w:tabs>
        <w:spacing w:after="0" w:line="240" w:lineRule="auto"/>
        <w:ind w:left="284" w:right="-1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Подпись председателя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:rsidR="00B90680" w:rsidRDefault="00D05612">
      <w:pPr>
        <w:tabs>
          <w:tab w:val="left" w:pos="6804"/>
        </w:tabs>
        <w:spacing w:after="120" w:line="240" w:lineRule="auto"/>
        <w:ind w:left="284"/>
        <w:jc w:val="both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                                                                            подпись</w:t>
      </w: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ab/>
        <w:t xml:space="preserve">    Ф.И.О.</w:t>
      </w:r>
    </w:p>
    <w:p w:rsidR="00B90680" w:rsidRDefault="00D05612">
      <w:pPr>
        <w:tabs>
          <w:tab w:val="left" w:pos="2552"/>
          <w:tab w:val="left" w:pos="5103"/>
          <w:tab w:val="left" w:pos="5387"/>
          <w:tab w:val="left" w:pos="9356"/>
        </w:tabs>
        <w:spacing w:after="0" w:line="240" w:lineRule="auto"/>
        <w:ind w:left="284" w:right="-1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Подписи экспертов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:rsidR="00B90680" w:rsidRDefault="00D05612">
      <w:pPr>
        <w:tabs>
          <w:tab w:val="left" w:pos="6804"/>
        </w:tabs>
        <w:spacing w:after="0" w:line="240" w:lineRule="auto"/>
        <w:ind w:left="284" w:right="-1"/>
        <w:jc w:val="both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                                                                            подпись</w:t>
      </w: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ab/>
        <w:t xml:space="preserve">    Ф.И.О.</w:t>
      </w:r>
    </w:p>
    <w:p w:rsidR="00B90680" w:rsidRDefault="00D05612">
      <w:pPr>
        <w:tabs>
          <w:tab w:val="left" w:pos="2552"/>
          <w:tab w:val="left" w:pos="5103"/>
          <w:tab w:val="left" w:pos="5387"/>
          <w:tab w:val="left" w:pos="9356"/>
        </w:tabs>
        <w:spacing w:before="120" w:after="0" w:line="240" w:lineRule="auto"/>
        <w:ind w:left="284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:rsidR="00B90680" w:rsidRDefault="00D05612">
      <w:pPr>
        <w:tabs>
          <w:tab w:val="left" w:pos="6804"/>
        </w:tabs>
        <w:spacing w:after="0" w:line="240" w:lineRule="auto"/>
        <w:ind w:left="284" w:right="-1"/>
        <w:jc w:val="both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 xml:space="preserve">                                                                             подпись</w:t>
      </w: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ab/>
        <w:t xml:space="preserve">    Ф.И.О.</w:t>
      </w:r>
    </w:p>
    <w:p w:rsidR="00B90680" w:rsidRDefault="00B90680">
      <w:pPr>
        <w:tabs>
          <w:tab w:val="left" w:pos="2835"/>
          <w:tab w:val="left" w:pos="5670"/>
        </w:tabs>
        <w:spacing w:after="0" w:line="240" w:lineRule="auto"/>
        <w:ind w:left="284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0680" w:rsidRDefault="00D05612">
      <w:pPr>
        <w:tabs>
          <w:tab w:val="left" w:pos="5387"/>
          <w:tab w:val="left" w:pos="7371"/>
        </w:tabs>
        <w:spacing w:after="0" w:line="240" w:lineRule="auto"/>
        <w:ind w:left="284"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Дата заполнения экспертного заключения    «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20__ г.</w:t>
      </w:r>
    </w:p>
    <w:p w:rsidR="00B90680" w:rsidRDefault="00B90680">
      <w:pPr>
        <w:tabs>
          <w:tab w:val="left" w:pos="3969"/>
          <w:tab w:val="center" w:pos="4677"/>
          <w:tab w:val="left" w:pos="7088"/>
          <w:tab w:val="right" w:pos="9355"/>
        </w:tabs>
        <w:spacing w:after="0" w:line="240" w:lineRule="auto"/>
        <w:ind w:left="284" w:right="-1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90680" w:rsidRDefault="00D05612">
      <w:pPr>
        <w:tabs>
          <w:tab w:val="left" w:pos="3969"/>
          <w:tab w:val="center" w:pos="4677"/>
          <w:tab w:val="left" w:pos="7088"/>
          <w:tab w:val="right" w:pos="9355"/>
        </w:tabs>
        <w:spacing w:after="0" w:line="240" w:lineRule="auto"/>
        <w:ind w:left="284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 заключением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и согласен (согласна)              </w:t>
      </w:r>
    </w:p>
    <w:p w:rsidR="00B90680" w:rsidRDefault="00B90680">
      <w:pPr>
        <w:tabs>
          <w:tab w:val="left" w:pos="3969"/>
          <w:tab w:val="center" w:pos="4677"/>
          <w:tab w:val="left" w:pos="7088"/>
          <w:tab w:val="right" w:pos="9355"/>
        </w:tabs>
        <w:spacing w:before="120" w:after="0" w:line="240" w:lineRule="auto"/>
        <w:ind w:left="284" w:right="-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90680" w:rsidRDefault="00D05612">
      <w:pPr>
        <w:tabs>
          <w:tab w:val="left" w:pos="851"/>
          <w:tab w:val="left" w:pos="2552"/>
          <w:tab w:val="left" w:pos="3969"/>
          <w:tab w:val="left" w:pos="7088"/>
          <w:tab w:val="right" w:pos="9355"/>
        </w:tabs>
        <w:spacing w:after="0" w:line="240" w:lineRule="auto"/>
        <w:ind w:left="284" w:right="-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20__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     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B90680" w:rsidRDefault="00D05612">
      <w:pPr>
        <w:tabs>
          <w:tab w:val="left" w:pos="3828"/>
          <w:tab w:val="left" w:pos="6804"/>
        </w:tabs>
        <w:spacing w:after="0" w:line="240" w:lineRule="auto"/>
        <w:ind w:left="284" w:right="-1"/>
        <w:jc w:val="both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ab/>
        <w:t xml:space="preserve">подпись </w:t>
      </w:r>
      <w:proofErr w:type="gramStart"/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>аттестуемого</w:t>
      </w:r>
      <w:proofErr w:type="gramEnd"/>
      <w:r>
        <w:rPr>
          <w:rFonts w:ascii="Times New Roman" w:eastAsia="Times New Roman" w:hAnsi="Times New Roman"/>
          <w:bCs/>
          <w:sz w:val="18"/>
          <w:szCs w:val="24"/>
          <w:lang w:eastAsia="ru-RU"/>
        </w:rPr>
        <w:tab/>
        <w:t xml:space="preserve">    Ф.И.О.</w:t>
      </w:r>
    </w:p>
    <w:p w:rsidR="00B90680" w:rsidRDefault="00D05612">
      <w:pPr>
        <w:spacing w:after="0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Рекомендации эксперта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B90680" w:rsidRDefault="00D05612">
      <w:pPr>
        <w:tabs>
          <w:tab w:val="center" w:pos="9356"/>
        </w:tabs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90680" w:rsidRDefault="00D05612">
      <w:pPr>
        <w:tabs>
          <w:tab w:val="center" w:pos="9356"/>
        </w:tabs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90680" w:rsidRDefault="00B90680">
      <w:pPr>
        <w:tabs>
          <w:tab w:val="center" w:pos="9356"/>
        </w:tabs>
        <w:rPr>
          <w:rFonts w:ascii="Times New Roman" w:hAnsi="Times New Roman"/>
          <w:sz w:val="24"/>
          <w:szCs w:val="24"/>
          <w:u w:val="single"/>
        </w:rPr>
      </w:pPr>
    </w:p>
    <w:sectPr w:rsidR="00B90680">
      <w:footnotePr>
        <w:numRestart w:val="eachPage"/>
      </w:footnotePr>
      <w:pgSz w:w="11906" w:h="16838"/>
      <w:pgMar w:top="1134" w:right="850" w:bottom="1134" w:left="1701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56" w:rsidRDefault="00275056">
      <w:pPr>
        <w:spacing w:after="0" w:line="240" w:lineRule="auto"/>
      </w:pPr>
      <w:r>
        <w:separator/>
      </w:r>
    </w:p>
  </w:endnote>
  <w:endnote w:type="continuationSeparator" w:id="0">
    <w:p w:rsidR="00275056" w:rsidRDefault="0027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56" w:rsidRDefault="00275056">
      <w:pPr>
        <w:spacing w:after="0" w:line="240" w:lineRule="auto"/>
      </w:pPr>
      <w:r>
        <w:separator/>
      </w:r>
    </w:p>
  </w:footnote>
  <w:footnote w:type="continuationSeparator" w:id="0">
    <w:p w:rsidR="00275056" w:rsidRDefault="00275056">
      <w:pPr>
        <w:spacing w:after="0" w:line="240" w:lineRule="auto"/>
      </w:pPr>
      <w:r>
        <w:continuationSeparator/>
      </w:r>
    </w:p>
  </w:footnote>
  <w:footnote w:id="1">
    <w:p w:rsidR="00B90680" w:rsidRDefault="00B90680">
      <w:pPr>
        <w:pStyle w:val="a3"/>
        <w:rPr>
          <w:rFonts w:ascii="Times New Roman" w:hAnsi="Times New Roman"/>
        </w:rPr>
      </w:pPr>
    </w:p>
  </w:footnote>
  <w:footnote w:id="2">
    <w:p w:rsidR="00B90680" w:rsidRDefault="00B90680">
      <w:pPr>
        <w:pStyle w:val="a3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F9E"/>
    <w:multiLevelType w:val="hybridMultilevel"/>
    <w:tmpl w:val="B08A0CBE"/>
    <w:lvl w:ilvl="0" w:tplc="10BEAE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54025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39A933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BE219D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0E059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BC2B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69EED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856D6D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A9A39F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783008AD"/>
    <w:multiLevelType w:val="hybridMultilevel"/>
    <w:tmpl w:val="F7A8A0FC"/>
    <w:name w:val="Нумерованный список 1"/>
    <w:lvl w:ilvl="0" w:tplc="77F8F4FC">
      <w:numFmt w:val="bullet"/>
      <w:lvlText w:val="-"/>
      <w:lvlJc w:val="left"/>
      <w:pPr>
        <w:ind w:left="360" w:firstLine="0"/>
      </w:pPr>
      <w:rPr>
        <w:rFonts w:ascii="Tahoma" w:eastAsia="Tahoma" w:hAnsi="Tahoma" w:cs="Tahoma"/>
      </w:rPr>
    </w:lvl>
    <w:lvl w:ilvl="1" w:tplc="F5FA3EA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0FD00AA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7F6A4FC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C63EB8FC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4ADA224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7FEF9E8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E382A108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1BFA90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0680"/>
    <w:rsid w:val="00275056"/>
    <w:rsid w:val="006A15B9"/>
    <w:rsid w:val="00B90680"/>
    <w:rsid w:val="00D05612"/>
    <w:rsid w:val="00E4069F"/>
    <w:rsid w:val="00F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pacing w:after="0" w:line="240" w:lineRule="auto"/>
    </w:pPr>
    <w:rPr>
      <w:sz w:val="20"/>
      <w:szCs w:val="20"/>
      <w:lang w:eastAsia="zh-CN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rmal (Web)"/>
    <w:basedOn w:val="a"/>
    <w:qFormat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7">
    <w:name w:val="Текст сноски Знак"/>
    <w:rPr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pacing w:after="0" w:line="240" w:lineRule="auto"/>
    </w:pPr>
    <w:rPr>
      <w:sz w:val="20"/>
      <w:szCs w:val="20"/>
      <w:lang w:eastAsia="zh-CN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rmal (Web)"/>
    <w:basedOn w:val="a"/>
    <w:qFormat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7">
    <w:name w:val="Текст сноски Знак"/>
    <w:rPr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Умцо</cp:lastModifiedBy>
  <cp:revision>3</cp:revision>
  <cp:lastPrinted>2024-05-29T08:37:00Z</cp:lastPrinted>
  <dcterms:created xsi:type="dcterms:W3CDTF">2024-10-01T13:06:00Z</dcterms:created>
  <dcterms:modified xsi:type="dcterms:W3CDTF">2025-02-18T08:25:00Z</dcterms:modified>
</cp:coreProperties>
</file>